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106</w:t>
      </w:r>
    </w:p>
    <w:p>
      <w:r>
        <w:t>Bundesgericht (BGE), 1994-04-25, DE</w:t>
      </w:r>
    </w:p>
    <w:p>
      <w:r>
        <w:rPr>
          <w:b/>
        </w:rPr>
        <w:t xml:space="preserve">Quelle: </w:t>
      </w:r>
      <w:r>
        <w:t>https://mcp.opencaselaw.ch/entscheid/bge_120 V 106</w:t>
      </w:r>
    </w:p>
    <w:p>
      <w:r>
        <w:t>FR: ATF 120 V 106</w:t>
      </w:r>
    </w:p>
    <w:p>
      <w:r>
        <w:t>IT: DTF 120 V 106</w:t>
      </w:r>
    </w:p>
    <w:p>
      <w:pPr>
        <w:pStyle w:val="Heading2"/>
      </w:pPr>
      <w:r>
        <w:t>Regeste</w:t>
      </w:r>
    </w:p>
    <w:p>
      <w:r>
        <w:t>Regeste Art. 23 und 24 Abs. 1 BVG, Art. 4 Abs. 1 IVG. Die Bindung der Vorsorgeeinrichtungen an den durch die Invalidenversicherung bei teilerwerbstätigen Personen aufgrund der gemischten Methode ermittelten Invaliditätsgrad beschränkt sich auf die Invalidität im erwerblichen Bereich.</w:t>
      </w:r>
    </w:p>
    <w:p>
      <w:pPr>
        <w:pStyle w:val="Heading2"/>
      </w:pPr>
      <w:r>
        <w:t>Erwägungen</w:t>
      </w:r>
    </w:p>
    <w:p>
      <w:r>
        <w:rPr>
          <w:b/>
        </w:rPr>
        <w:t>E. 1</w:t>
      </w:r>
    </w:p>
    <w:p>
      <w:r>
        <w:t>(Zuständigkeit)</w:t>
      </w:r>
    </w:p>
    <w:p>
      <w:r>
        <w:rPr>
          <w:b/>
        </w:rPr>
        <w:t>E. 2</w:t>
      </w:r>
    </w:p>
    <w:p>
      <w:r>
        <w:t>(Kognition)</w:t>
      </w:r>
    </w:p>
    <w:p>
      <w:r>
        <w:rPr>
          <w:b/>
        </w:rPr>
        <w:t>E. 3</w:t>
      </w:r>
    </w:p>
    <w:p>
      <w:r>
        <w:t>Als teilinvalid gilt, wer mindestens zu einem Viertel, aber zu weniger als zu zwei Dritteln erwerbsunfähig ist. Eine Erwerbsunfähigkeit von weniger als 25% berechtigt nicht zu einer Invalidenrente.</w:t>
      </w:r>
    </w:p>
    <w:p>
      <w:r>
        <w:rPr>
          <w:b/>
        </w:rPr>
        <w:t>E. 4</w:t>
      </w:r>
    </w:p>
    <w:p>
      <w:r>
        <w:t>a) Die Invalidenversicherungs-Kommission bemass die Invalidität der Beschwerdegegnerin nach der gemischten Methode (Anteil Erwerbstätigkeit: 60%) und ermittelte einen Invaliditätsgrad von 52%. Dabei ergab sich im Teilbereich Haushalt eine Invalidität von 25% und im erwerblichen Bereich eine solche von 70%. Die beschwerdeführende Pensionskasse stellt sich auf den Standpunkt, angesichts des einheitlichen Invaliditätsbegriffes zwischen BVG und IVG sei für sie der aufgrund der gemischten Methode ermittelte Invaliditätsgrad von 52% massgebend. Demgegenüber vertreten kantonales Gericht und Beschwerdegegnerin die Auffassung, dass für die Invaliditätsbemessung einzig auf die für den erwerblichen Bereich festgestellte Invalidität von 70% abzustellen sei. Diese Auffassung wird auch vom Bundesamt für Sozialversicherung geteilt. b) Bei der Auslegung der in Art. 23 und 24 Abs. 1 BVG enthaltenen Wendung "im Sinne der IV invalid" ist davon auszugehen, dass das BVG (Art. 2 bis 4) im Gegensatz zur Invalidenversicherung lediglich die Erwerbstätigen versichert (BRÜHWILER, Die betriebliche Personalvorsorge in der Schweiz, S. 286, N. 47 zu § 14). Die berufliche Vorsorge stellt einen Ersatz für den nach Eintritt des Versicherungsfalles (Rücktrittsalter, Tod, Invalidität) ausbleibenden Lohn dar (HELBLING, Personalvorsorge und BVG, 5. Auflage, S. 143). Entsprechend knüpfen beim versicherten Personenkreis sowohl die BGE 120 V 106 S. 110 obligatorische Versicherung der Arbeitnehmer ( Art. 7 ff. BVG ) als auch die freiwillige Versicherung der Selbständigerwerbenden (Art. 44 f. BVG) an die Erwerbstätigkeit an. Dieser versicherungsmässige Ausgangspunkt kommt bei der obligatorischen beruflichen Vorsorge auch beim versicherten Lohn ( Art. 7 und 8 BVG ) zum Ausdruck. Wenn daher das BVG bei der Umschreibung der Anspruchsvoraussetzungen für Invalidenleistungen auf den Invaliditätsbegriff der Invalidenversicherung Bezug nimmt ( Art. 23 und 24 Abs. 1 BVG ), so steht dies unter dem stillschweigenden Vorbehalt der Erwerbstätigkeit. Eine Invalidität, die nicht auf einer Beeinträchtigung der Erwerbsfähigkeit beruht, kann damit nicht gemeint sein. Die unterschiedliche gesetzliche Regelung des Versichertenkreises der Invalidenversicherung und der beruflichen Vorsorge verbietet daher, den Invaliditätsbegriff der Invalidenversicherung ungeachtet erwerblich nicht relevanter Faktoren integral zur Anwendung zu bringen. Nach Sinn und Zweck der beruflichen Invalidenvorsorge können die Verweise in Art. 23 und 24 Abs. 1 BVG einzig die Definition der Invalidität nach Massgabe der Erwerbsunfähigkeit gemäss Art. 4 Abs. 1 IVG im Auge haben. Entsprechend ist die Ausgangslage bei der Unfallversicherung, welche für die Bemessung der Invalidität einzig die Methode des Einkommensvergleichs ( Art. 18 Abs. 2 UVG ) kennt. Der Auffassung des kantonalen Gerichts ist demzufolge beizupflichten, dass in Fällen von teilerwerbstätigen Versicherten, die neben der Erwerbstätigkeit einen Haushalt führen, der nach der gemischten Methode des Art. 27bis IVV ermittelte Invaliditätsgrad nicht in den Bereich der beruflichen Vorsorge übernommen werden kann. Der Entscheid der Organe der Invalidenversicherung ist mithin für die Vorsorgeeinrichtungen insoweit nicht verbindlich, als die Invalidität bzw. der Invaliditätsgrad nach andern Kriterien als der Erwerbsunfähigkeit bemessen wird. Es wäre in solchen Fällen unhaltbar, eine Bindungswirkung an die IV-rechtliche Betrachtungsweise anzunehmen. Die Koordination der zweiten mit der ersten Säule hat daher bei teilerwerbstätigen und damit nach der gemischten Methode des Art. 27bis IVV eingeschätzten Versicherten in der Weise zu geschehen, dass für die berufliche Vorsorge grundsätzlich nur der Invaliditätsgrad massgebend ist, der für den erwerblichen Bereich resultiert. Einzig insoweit ist eine Bindung an die Invaliditätsbemessung der Invalidenversicherung gegeben, unter dem Vorbehalt der offensichtlichen Unhaltbarkeit des Invaliditätsgrades. In diesem Sinne sind die Grundsätze der Rechtsprechung über die Verbindlichkeit der Invaliditätsschätzung durch BGE 120 V 106 S. 111 die IV-Organe im Bereich der obligatorischen Vorsorge zu ergänzen (vgl. BGE 118 V 39 Erw. 2 und 3, 115 V 208 und 215). Entgegen der Auffassung der Beschwerdeführerin kann von einer Besserstellung der von Art. 27bis IVV erfassten Teilerwerbstätigen nicht gesprochen werden. Das Korrektiv gegen überhöhte Vorsorgeleistungen liegt beim versicherten bzw. koordinierten Lohn, der entsprechend der nur teilzeitlichen Beschäftigung geringer ausfällt. Die Auffassung der Beschwerdeführerin führt im Gegenteil zu einer sachlich nicht gerechtfertigten Benachteiligung der in Teilzeit Beschäftigten mit bestimmtem Aufgabenbereich im Haushalt gegenüber den vollzeitlich Erwerbstätigen. c) Keine für die Entscheidung des streitigen Rentenfalles andere Beurteilungsgrundlage ergibt sich nach der statutarischen Ordnung der Beschwerdeführerin. In Auslegung und Anwendung von Art. 31 Abs. 1 bis 4 der Statuten ist für die Bemessung der Invalidität grundsätzlich auf die Erwerbsunfähigkeit, ausgedrückt in der Einkommenseinbusse, abzustellen. Dies schliesst es aus, bei der Invaliditätsbemessung Behinderungen ausserhalb des beruflichen Bereiches miteinzubeziehen. Wohl berücksichtigt der Stiftungsrat in der Regel auch den Entscheid der Invalidenversicherung, ohne aber daran gebunden zu sein (Art. 32 Abs. 1 der Statuten). Es ginge jedoch nicht an, wenn der Stiftungsrat angesichts der statutarisch vorgegebenen Kriterien bei der Festlegung des Invaliditätsgrades bei einer teilzeitbeschäftigten Person unbesehen auf den aus der gemischten Methode der Invalidenversicherung resultierenden Invaliditätsgrad abstellen würde. Es kann in diesem Zusammenhang auf Erw. 5 des vorinstanzlichen Entscheides verwiesen werden. Die Berufung der Beschwerdeführerin auf Art. 50 Abs. 3 BVG ist ebenfalls unbehelflich, da sich einerseits beim BVG wie beim UVG - im Gegensatz zur Invalidenversicherung - der versicherte Personenkreis auf erwerbstätige Personen beschränkt und anderseits Art. 31 Abs. 1 bis 4 der Statuten selbst auf die Erwerbsunfähigkeit abstellt. d) Nach dem Gesagten ist somit für die Invaliditätsbemessung einzig auf den von der Invalidenversicherung für den erwerblichen Bereich ermittelten Invaliditätsgrad von 70% abzustellen. Zu Recht hat daher das kantonale Gericht der Beschwerdegegnerin ab Erschöpfung der Lohnersatzleistungen (Art. 31 Abs. 5 der Statuten) einen Anspruch auf eine volle Invalidenrente eingeräumt.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